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4A144" w14:textId="77777777" w:rsidR="00B7075C" w:rsidRPr="000C5392" w:rsidRDefault="00B7075C" w:rsidP="00B7075C">
      <w:pPr>
        <w:pStyle w:val="Prrafodelista"/>
        <w:ind w:left="0"/>
        <w:rPr>
          <w:rFonts w:ascii="Arial" w:hAnsi="Arial" w:cs="Arial"/>
          <w:b/>
          <w:lang w:val="es-ES"/>
        </w:rPr>
      </w:pPr>
      <w:r w:rsidRPr="000C5392">
        <w:rPr>
          <w:rFonts w:ascii="Arial" w:hAnsi="Arial" w:cs="Arial"/>
          <w:b/>
          <w:lang w:val="es-ES"/>
        </w:rPr>
        <w:t>Contexto</w:t>
      </w:r>
      <w:bookmarkStart w:id="0" w:name="_GoBack"/>
      <w:bookmarkEnd w:id="0"/>
    </w:p>
    <w:p w14:paraId="3C2B84C5" w14:textId="77777777" w:rsidR="00B7075C" w:rsidRPr="000C5392" w:rsidRDefault="00B7075C" w:rsidP="00B7075C">
      <w:pPr>
        <w:pStyle w:val="Prrafodelista"/>
        <w:ind w:left="0"/>
        <w:rPr>
          <w:rFonts w:ascii="Arial" w:hAnsi="Arial" w:cs="Arial"/>
          <w:lang w:val="es-ES"/>
        </w:rPr>
      </w:pPr>
    </w:p>
    <w:p w14:paraId="6C9155F3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lang w:val="es-ES"/>
        </w:rPr>
      </w:pPr>
      <w:r w:rsidRPr="000C5392">
        <w:rPr>
          <w:rFonts w:ascii="Arial" w:hAnsi="Arial" w:cs="Arial"/>
          <w:b/>
          <w:lang w:val="es-ES"/>
        </w:rPr>
        <w:t>Objeto</w:t>
      </w:r>
    </w:p>
    <w:p w14:paraId="1E9B4A0F" w14:textId="77777777" w:rsidR="00B7075C" w:rsidRPr="000C5392" w:rsidRDefault="00B7075C" w:rsidP="00B7075C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14:paraId="0D07C387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lang w:val="es-ES"/>
        </w:rPr>
      </w:pPr>
      <w:r w:rsidRPr="000C5392">
        <w:rPr>
          <w:rFonts w:ascii="Arial" w:hAnsi="Arial" w:cs="Arial"/>
          <w:b/>
          <w:lang w:val="es-ES"/>
        </w:rPr>
        <w:t>Partícipes</w:t>
      </w:r>
    </w:p>
    <w:p w14:paraId="7DE4D925" w14:textId="77777777" w:rsidR="00B7075C" w:rsidRPr="000C5392" w:rsidRDefault="00B7075C" w:rsidP="00B7075C">
      <w:pPr>
        <w:pStyle w:val="Prrafodelista"/>
        <w:spacing w:after="0"/>
        <w:ind w:left="0"/>
        <w:jc w:val="both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lang w:val="es-ES"/>
        </w:rPr>
        <w:t>Contratante: MINISTERIO DE VIVIENDA CIUDAD Y TERRITORIO - MVCT</w:t>
      </w:r>
    </w:p>
    <w:p w14:paraId="4F6B6F1B" w14:textId="77777777" w:rsidR="00B7075C" w:rsidRPr="000C5392" w:rsidRDefault="00B7075C" w:rsidP="00B7075C">
      <w:pPr>
        <w:pStyle w:val="Prrafodelista"/>
        <w:spacing w:after="0"/>
        <w:ind w:left="0"/>
        <w:jc w:val="both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lang w:val="es-ES"/>
        </w:rPr>
        <w:t>Contratista: NOMBRE</w:t>
      </w:r>
    </w:p>
    <w:p w14:paraId="679232A7" w14:textId="77777777" w:rsidR="00B7075C" w:rsidRPr="000C5392" w:rsidRDefault="00B7075C" w:rsidP="00B7075C">
      <w:pPr>
        <w:pStyle w:val="Prrafodelista"/>
        <w:spacing w:after="0"/>
        <w:ind w:left="0"/>
        <w:jc w:val="both"/>
        <w:rPr>
          <w:rFonts w:ascii="Arial" w:hAnsi="Arial" w:cs="Arial"/>
          <w:lang w:val="es-ES"/>
        </w:rPr>
      </w:pPr>
    </w:p>
    <w:p w14:paraId="6EAE1452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b/>
          <w:lang w:val="es-ES"/>
        </w:rPr>
        <w:t>Plazo</w:t>
      </w:r>
    </w:p>
    <w:p w14:paraId="274E7DF5" w14:textId="77777777" w:rsidR="00B7075C" w:rsidRPr="000C5392" w:rsidRDefault="00B7075C" w:rsidP="00B7075C">
      <w:pPr>
        <w:pStyle w:val="Prrafodelista"/>
        <w:spacing w:after="0"/>
        <w:ind w:left="0"/>
        <w:jc w:val="both"/>
        <w:rPr>
          <w:rFonts w:ascii="Arial" w:hAnsi="Arial" w:cs="Arial"/>
          <w:lang w:val="es-ES"/>
        </w:rPr>
      </w:pPr>
    </w:p>
    <w:p w14:paraId="0942F6B3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lang w:val="es-ES"/>
        </w:rPr>
      </w:pPr>
      <w:r w:rsidRPr="000C5392">
        <w:rPr>
          <w:rFonts w:ascii="Arial" w:hAnsi="Arial" w:cs="Arial"/>
          <w:b/>
          <w:lang w:val="es-ES"/>
        </w:rPr>
        <w:t>Ciudadanos beneficiarios</w:t>
      </w:r>
    </w:p>
    <w:p w14:paraId="68FEEA92" w14:textId="77777777" w:rsidR="00B7075C" w:rsidRPr="000C5392" w:rsidRDefault="00B7075C" w:rsidP="00B7075C">
      <w:pPr>
        <w:spacing w:after="0"/>
        <w:jc w:val="both"/>
        <w:rPr>
          <w:rFonts w:cs="Arial"/>
          <w:lang w:val="es-ES"/>
        </w:rPr>
      </w:pPr>
    </w:p>
    <w:p w14:paraId="1679D010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b/>
          <w:lang w:val="es-ES"/>
        </w:rPr>
        <w:t>Disponibilidad de recursos y conocimientos para el Proceso de Contratación</w:t>
      </w:r>
      <w:r w:rsidRPr="000C5392">
        <w:rPr>
          <w:rFonts w:ascii="Arial" w:hAnsi="Arial" w:cs="Arial"/>
          <w:lang w:val="es-ES"/>
        </w:rPr>
        <w:t>.</w:t>
      </w:r>
    </w:p>
    <w:p w14:paraId="5A2FB44D" w14:textId="77777777" w:rsidR="00B7075C" w:rsidRPr="000C5392" w:rsidRDefault="00B7075C" w:rsidP="00B7075C">
      <w:pPr>
        <w:spacing w:after="0" w:line="240" w:lineRule="auto"/>
        <w:jc w:val="both"/>
        <w:rPr>
          <w:rFonts w:cs="Arial"/>
          <w:lang w:val="es-ES" w:eastAsia="es-ES"/>
        </w:rPr>
      </w:pPr>
    </w:p>
    <w:p w14:paraId="7324DA8A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lang w:val="es-ES"/>
        </w:rPr>
      </w:pPr>
      <w:r w:rsidRPr="000C5392">
        <w:rPr>
          <w:rFonts w:ascii="Arial" w:hAnsi="Arial" w:cs="Arial"/>
          <w:b/>
          <w:lang w:val="es-ES"/>
        </w:rPr>
        <w:t xml:space="preserve">Suficiencia del presupuesto oficial </w:t>
      </w:r>
    </w:p>
    <w:p w14:paraId="67E0E7E7" w14:textId="77777777" w:rsidR="00B7075C" w:rsidRPr="000C5392" w:rsidRDefault="00B7075C" w:rsidP="009071C7">
      <w:pPr>
        <w:spacing w:after="0"/>
        <w:jc w:val="both"/>
        <w:rPr>
          <w:rFonts w:cs="Arial"/>
          <w:lang w:val="es-ES"/>
        </w:rPr>
      </w:pPr>
    </w:p>
    <w:p w14:paraId="3A2D67DA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b/>
          <w:lang w:val="es-ES"/>
        </w:rPr>
        <w:t>Las condiciones geográficas y de acceso del lugar en el cual se debe cumplir el objeto</w:t>
      </w:r>
      <w:r w:rsidRPr="000C5392">
        <w:rPr>
          <w:rFonts w:ascii="Arial" w:hAnsi="Arial" w:cs="Arial"/>
          <w:lang w:val="es-ES"/>
        </w:rPr>
        <w:t>.</w:t>
      </w:r>
    </w:p>
    <w:p w14:paraId="7AF5F55A" w14:textId="77777777" w:rsidR="00B7075C" w:rsidRPr="000C5392" w:rsidRDefault="00B7075C" w:rsidP="00B7075C">
      <w:pPr>
        <w:spacing w:after="0"/>
        <w:jc w:val="both"/>
        <w:rPr>
          <w:rFonts w:cs="Arial"/>
          <w:lang w:val="es-ES"/>
        </w:rPr>
      </w:pPr>
    </w:p>
    <w:p w14:paraId="48D271C2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b/>
          <w:lang w:val="es-ES"/>
        </w:rPr>
        <w:t>Entorno socio ambiental</w:t>
      </w:r>
      <w:r w:rsidRPr="000C5392">
        <w:rPr>
          <w:rFonts w:ascii="Arial" w:hAnsi="Arial" w:cs="Arial"/>
          <w:lang w:val="es-ES"/>
        </w:rPr>
        <w:t xml:space="preserve">. </w:t>
      </w:r>
    </w:p>
    <w:p w14:paraId="4C630740" w14:textId="77777777" w:rsidR="00B7075C" w:rsidRPr="000C5392" w:rsidRDefault="00B7075C" w:rsidP="00B7075C">
      <w:pPr>
        <w:spacing w:after="0"/>
        <w:jc w:val="both"/>
        <w:rPr>
          <w:rFonts w:cs="Arial"/>
          <w:lang w:val="es-ES"/>
        </w:rPr>
      </w:pPr>
    </w:p>
    <w:p w14:paraId="0E1A120C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b/>
          <w:lang w:val="es-ES"/>
        </w:rPr>
        <w:t>Condiciones políticas</w:t>
      </w:r>
      <w:r w:rsidRPr="000C5392">
        <w:rPr>
          <w:rFonts w:ascii="Arial" w:hAnsi="Arial" w:cs="Arial"/>
          <w:lang w:val="es-ES"/>
        </w:rPr>
        <w:t>.</w:t>
      </w:r>
    </w:p>
    <w:p w14:paraId="19330A23" w14:textId="77777777" w:rsidR="00B7075C" w:rsidRPr="000C5392" w:rsidRDefault="00B7075C" w:rsidP="00B7075C">
      <w:pPr>
        <w:spacing w:after="0"/>
        <w:jc w:val="both"/>
        <w:rPr>
          <w:rFonts w:cs="Arial"/>
          <w:lang w:val="es-ES"/>
        </w:rPr>
      </w:pPr>
    </w:p>
    <w:p w14:paraId="5618A7E5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b/>
          <w:lang w:val="es-ES"/>
        </w:rPr>
        <w:t>Factores ambientales</w:t>
      </w:r>
      <w:r w:rsidRPr="000C5392">
        <w:rPr>
          <w:rFonts w:ascii="Arial" w:hAnsi="Arial" w:cs="Arial"/>
          <w:lang w:val="es-ES"/>
        </w:rPr>
        <w:t>.</w:t>
      </w:r>
    </w:p>
    <w:p w14:paraId="0AEDEB77" w14:textId="77777777" w:rsidR="00B7075C" w:rsidRPr="000C5392" w:rsidRDefault="00B7075C" w:rsidP="00B7075C">
      <w:pPr>
        <w:spacing w:after="0"/>
        <w:rPr>
          <w:rFonts w:cs="Arial"/>
          <w:lang w:val="es-ES"/>
        </w:rPr>
      </w:pPr>
    </w:p>
    <w:p w14:paraId="646EDD97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lang w:val="es-ES"/>
        </w:rPr>
      </w:pPr>
      <w:r w:rsidRPr="000C5392">
        <w:rPr>
          <w:rFonts w:ascii="Arial" w:hAnsi="Arial" w:cs="Arial"/>
          <w:b/>
          <w:lang w:val="es-ES"/>
        </w:rPr>
        <w:t xml:space="preserve">Normatividad aplicable al objeto del Proceso de Contratación. </w:t>
      </w:r>
    </w:p>
    <w:p w14:paraId="0C37CDE3" w14:textId="6D4F5020" w:rsidR="00B7075C" w:rsidRPr="000C5392" w:rsidRDefault="00B7075C" w:rsidP="00B7075C">
      <w:pPr>
        <w:spacing w:after="0"/>
        <w:jc w:val="both"/>
        <w:rPr>
          <w:rFonts w:cs="Arial"/>
          <w:lang w:val="es-ES"/>
        </w:rPr>
      </w:pPr>
      <w:r w:rsidRPr="000C5392">
        <w:rPr>
          <w:rFonts w:cs="Arial"/>
          <w:lang w:val="es-ES"/>
        </w:rPr>
        <w:t xml:space="preserve">A </w:t>
      </w:r>
      <w:r w:rsidR="009071C7" w:rsidRPr="000C5392">
        <w:rPr>
          <w:rFonts w:cs="Arial"/>
          <w:lang w:val="es-ES"/>
        </w:rPr>
        <w:t>continuación,</w:t>
      </w:r>
      <w:r w:rsidRPr="000C5392">
        <w:rPr>
          <w:rFonts w:cs="Arial"/>
          <w:lang w:val="es-ES"/>
        </w:rPr>
        <w:t xml:space="preserve"> se relaciona la normatividad general y especial a tener en cuenta en el desarrollo del presente contrato:</w:t>
      </w:r>
    </w:p>
    <w:p w14:paraId="53E243BF" w14:textId="77777777" w:rsidR="00B7075C" w:rsidRPr="000C5392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lang w:val="es-ES"/>
        </w:rPr>
        <w:t xml:space="preserve">LEY 80 DE 1993 </w:t>
      </w:r>
    </w:p>
    <w:p w14:paraId="2A4DDEC3" w14:textId="77777777" w:rsidR="00B7075C" w:rsidRPr="000C5392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lang w:val="es-ES"/>
        </w:rPr>
        <w:t>LEY 1150 DE 2007</w:t>
      </w:r>
    </w:p>
    <w:p w14:paraId="0867B9A8" w14:textId="77777777" w:rsidR="00B7075C" w:rsidRPr="000C5392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lang w:val="es-ES"/>
        </w:rPr>
        <w:t>LEY 1474 DE 2011</w:t>
      </w:r>
    </w:p>
    <w:p w14:paraId="0E4A1B34" w14:textId="77777777" w:rsidR="00B7075C" w:rsidRPr="000C5392" w:rsidRDefault="00B7075C" w:rsidP="00B7075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lang w:val="es-ES"/>
        </w:rPr>
        <w:t>Decreto 1082 de 2015</w:t>
      </w:r>
    </w:p>
    <w:p w14:paraId="4C026412" w14:textId="77777777" w:rsidR="00B7075C" w:rsidRPr="000C5392" w:rsidRDefault="00B7075C" w:rsidP="00B7075C">
      <w:pPr>
        <w:pStyle w:val="Prrafodelista"/>
        <w:spacing w:after="0"/>
        <w:jc w:val="both"/>
        <w:rPr>
          <w:rFonts w:ascii="Arial" w:hAnsi="Arial" w:cs="Arial"/>
          <w:lang w:val="es-ES"/>
        </w:rPr>
      </w:pPr>
    </w:p>
    <w:p w14:paraId="12C5D9A3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lang w:val="es-ES"/>
        </w:rPr>
      </w:pPr>
      <w:r w:rsidRPr="000C5392">
        <w:rPr>
          <w:rFonts w:ascii="Arial" w:hAnsi="Arial" w:cs="Arial"/>
          <w:b/>
          <w:lang w:val="es-ES"/>
        </w:rPr>
        <w:t>Experiencia propia y de otras Entidades Estatales en Procesos de Contratación del mismo tipo</w:t>
      </w:r>
    </w:p>
    <w:p w14:paraId="50D6E382" w14:textId="056FC84E" w:rsidR="003E1B85" w:rsidRPr="000C5392" w:rsidRDefault="003E1B85">
      <w:pPr>
        <w:rPr>
          <w:rFonts w:cs="Arial"/>
          <w:lang w:val="es-ES"/>
        </w:rPr>
      </w:pPr>
      <w:r w:rsidRPr="000C5392">
        <w:rPr>
          <w:rFonts w:cs="Arial"/>
          <w:lang w:val="es-ES"/>
        </w:rPr>
        <w:br w:type="page"/>
      </w:r>
    </w:p>
    <w:p w14:paraId="32771BE0" w14:textId="77777777" w:rsidR="00B7075C" w:rsidRPr="000C5392" w:rsidRDefault="00B7075C" w:rsidP="00B7075C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lang w:val="es-ES"/>
        </w:rPr>
      </w:pPr>
      <w:r w:rsidRPr="000C5392">
        <w:rPr>
          <w:rFonts w:ascii="Arial" w:hAnsi="Arial" w:cs="Arial"/>
          <w:b/>
          <w:lang w:val="es-ES"/>
        </w:rPr>
        <w:lastRenderedPageBreak/>
        <w:t>Valoración de Riesgos</w:t>
      </w:r>
    </w:p>
    <w:p w14:paraId="4A66B949" w14:textId="77777777" w:rsidR="00B7075C" w:rsidRPr="000C5392" w:rsidRDefault="00B7075C" w:rsidP="00B7075C">
      <w:pPr>
        <w:pStyle w:val="Prrafodelista"/>
        <w:spacing w:after="0"/>
        <w:ind w:left="360"/>
        <w:jc w:val="both"/>
        <w:rPr>
          <w:rFonts w:ascii="Arial" w:hAnsi="Arial" w:cs="Arial"/>
          <w:b/>
          <w:lang w:val="es-ES"/>
        </w:rPr>
      </w:pPr>
    </w:p>
    <w:p w14:paraId="61DEEF9F" w14:textId="77777777" w:rsidR="00B7075C" w:rsidRPr="000C5392" w:rsidRDefault="00B7075C" w:rsidP="00B7075C">
      <w:pPr>
        <w:spacing w:after="0"/>
        <w:jc w:val="both"/>
        <w:rPr>
          <w:rFonts w:cs="Arial"/>
          <w:b/>
          <w:lang w:val="es-ES"/>
        </w:rPr>
      </w:pPr>
      <w:r w:rsidRPr="000C5392">
        <w:rPr>
          <w:rFonts w:cs="Arial"/>
          <w:b/>
          <w:lang w:val="es-ES"/>
        </w:rPr>
        <w:t>Escala de Consecuencias probabilidad</w:t>
      </w:r>
    </w:p>
    <w:p w14:paraId="409B9941" w14:textId="77777777" w:rsidR="00B7075C" w:rsidRPr="000C5392" w:rsidRDefault="00B7075C" w:rsidP="00B7075C">
      <w:pPr>
        <w:spacing w:after="0"/>
        <w:jc w:val="both"/>
        <w:rPr>
          <w:rFonts w:cs="Arial"/>
          <w:b/>
          <w:lang w:val="es-ES"/>
        </w:rPr>
      </w:pPr>
    </w:p>
    <w:tbl>
      <w:tblPr>
        <w:tblW w:w="5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827"/>
        <w:gridCol w:w="1984"/>
      </w:tblGrid>
      <w:tr w:rsidR="00B7075C" w:rsidRPr="000C5392" w14:paraId="44FB0AD3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single" w:sz="8" w:space="0" w:color="7030A0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2C531B12" w14:textId="100B6146" w:rsidR="00B7075C" w:rsidRPr="006B25A8" w:rsidRDefault="006B25A8" w:rsidP="00C106D6">
            <w:pPr>
              <w:spacing w:after="0" w:line="240" w:lineRule="auto"/>
              <w:rPr>
                <w:rFonts w:cs="Arial"/>
                <w:b/>
                <w:lang w:val="es-ES"/>
              </w:rPr>
            </w:pPr>
            <w:r w:rsidRPr="006B25A8">
              <w:rPr>
                <w:rFonts w:cs="Arial"/>
                <w:b/>
                <w:lang w:val="es-ES"/>
              </w:rPr>
              <w:t>CONSECUENCIAS</w:t>
            </w:r>
          </w:p>
        </w:tc>
        <w:tc>
          <w:tcPr>
            <w:tcW w:w="1418" w:type="dxa"/>
            <w:tcBorders>
              <w:top w:val="single" w:sz="8" w:space="0" w:color="7030A0"/>
              <w:left w:val="nil"/>
              <w:bottom w:val="single" w:sz="4" w:space="0" w:color="auto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0B424DD2" w14:textId="45F424AA" w:rsidR="00B7075C" w:rsidRPr="006B25A8" w:rsidRDefault="006B25A8" w:rsidP="00C106D6">
            <w:pPr>
              <w:spacing w:after="0" w:line="240" w:lineRule="auto"/>
              <w:rPr>
                <w:rFonts w:cs="Arial"/>
                <w:b/>
                <w:lang w:val="es-ES"/>
              </w:rPr>
            </w:pPr>
            <w:r w:rsidRPr="006B25A8">
              <w:rPr>
                <w:rFonts w:cs="Arial"/>
                <w:b/>
                <w:lang w:val="es-ES"/>
              </w:rPr>
              <w:t>PROBABILIDAD</w:t>
            </w:r>
          </w:p>
        </w:tc>
        <w:tc>
          <w:tcPr>
            <w:tcW w:w="1984" w:type="dxa"/>
            <w:tcBorders>
              <w:top w:val="single" w:sz="8" w:space="0" w:color="7030A0"/>
              <w:left w:val="nil"/>
              <w:bottom w:val="single" w:sz="4" w:space="0" w:color="C00000"/>
              <w:right w:val="single" w:sz="8" w:space="0" w:color="7030A0"/>
            </w:tcBorders>
            <w:shd w:val="clear" w:color="000000" w:fill="FFFF00"/>
            <w:noWrap/>
            <w:vAlign w:val="center"/>
            <w:hideMark/>
          </w:tcPr>
          <w:p w14:paraId="09B02152" w14:textId="2EDA1370" w:rsidR="00B7075C" w:rsidRPr="006B25A8" w:rsidRDefault="006B25A8" w:rsidP="00C106D6">
            <w:pPr>
              <w:spacing w:after="0" w:line="240" w:lineRule="auto"/>
              <w:rPr>
                <w:rFonts w:cs="Arial"/>
                <w:b/>
                <w:lang w:val="es-ES"/>
              </w:rPr>
            </w:pPr>
            <w:r w:rsidRPr="006B25A8">
              <w:rPr>
                <w:rFonts w:cs="Arial"/>
                <w:b/>
                <w:lang w:val="es-ES"/>
              </w:rPr>
              <w:t>SUJETOS DE RIESGO</w:t>
            </w:r>
          </w:p>
        </w:tc>
      </w:tr>
      <w:tr w:rsidR="00B7075C" w:rsidRPr="000C5392" w14:paraId="6F4BA880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DDB17CB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Catastrófico &lt;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092CAA1B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Casi cierto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11867BE5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Contratista</w:t>
            </w:r>
          </w:p>
        </w:tc>
      </w:tr>
      <w:tr w:rsidR="00B7075C" w:rsidRPr="000C5392" w14:paraId="57F4DA36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448C2C10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Mayor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50833B80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Probable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558E8799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Entidad Contratante</w:t>
            </w:r>
          </w:p>
        </w:tc>
      </w:tr>
      <w:tr w:rsidR="00B7075C" w:rsidRPr="000C5392" w14:paraId="44B50B3F" w14:textId="77777777" w:rsidTr="00C106D6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7643D74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Moderado 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0B96844E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Posible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4CCD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</w:p>
        </w:tc>
      </w:tr>
      <w:tr w:rsidR="00B7075C" w:rsidRPr="000C5392" w14:paraId="71DA7530" w14:textId="77777777" w:rsidTr="00C106D6">
        <w:trPr>
          <w:trHeight w:val="300"/>
          <w:jc w:val="center"/>
        </w:trPr>
        <w:tc>
          <w:tcPr>
            <w:tcW w:w="1833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707D4142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Menor 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103D64DC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Improbable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0458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</w:p>
        </w:tc>
      </w:tr>
      <w:tr w:rsidR="00B7075C" w:rsidRPr="000C5392" w14:paraId="79B8F826" w14:textId="77777777" w:rsidTr="00C106D6">
        <w:trPr>
          <w:trHeight w:val="315"/>
          <w:jc w:val="center"/>
        </w:trPr>
        <w:tc>
          <w:tcPr>
            <w:tcW w:w="1833" w:type="dxa"/>
            <w:tcBorders>
              <w:top w:val="single" w:sz="4" w:space="0" w:color="auto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4CEAEBE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Insignificante - 1%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14:paraId="6812960C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  <w:r w:rsidRPr="000C5392">
              <w:rPr>
                <w:rFonts w:cs="Arial"/>
                <w:lang w:val="es-ES"/>
              </w:rPr>
              <w:t>Raro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4132" w14:textId="77777777" w:rsidR="00B7075C" w:rsidRPr="000C5392" w:rsidRDefault="00B7075C" w:rsidP="00C106D6">
            <w:pPr>
              <w:spacing w:after="0" w:line="240" w:lineRule="auto"/>
              <w:rPr>
                <w:rFonts w:cs="Arial"/>
                <w:lang w:val="es-ES"/>
              </w:rPr>
            </w:pPr>
          </w:p>
        </w:tc>
      </w:tr>
    </w:tbl>
    <w:p w14:paraId="4814B39A" w14:textId="77777777" w:rsidR="00B7075C" w:rsidRPr="000C5392" w:rsidRDefault="00B7075C" w:rsidP="00B7075C">
      <w:pPr>
        <w:spacing w:after="0"/>
        <w:rPr>
          <w:rFonts w:cs="Arial"/>
          <w:lang w:val="es-ES"/>
        </w:rPr>
      </w:pPr>
    </w:p>
    <w:p w14:paraId="5D3B0711" w14:textId="77777777" w:rsidR="00B7075C" w:rsidRPr="000C5392" w:rsidRDefault="00B7075C" w:rsidP="00B7075C">
      <w:pPr>
        <w:spacing w:after="0"/>
        <w:rPr>
          <w:rFonts w:cs="Arial"/>
          <w:lang w:val="es-ES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585"/>
        <w:gridCol w:w="1336"/>
        <w:gridCol w:w="1205"/>
        <w:gridCol w:w="1666"/>
        <w:gridCol w:w="1538"/>
      </w:tblGrid>
      <w:tr w:rsidR="00B7075C" w:rsidRPr="000C5392" w14:paraId="51C11A21" w14:textId="77777777" w:rsidTr="006B25A8">
        <w:trPr>
          <w:trHeight w:val="3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AF523" w14:textId="3D8409F8" w:rsidR="00B7075C" w:rsidRPr="000C5392" w:rsidRDefault="00B7075C" w:rsidP="006B25A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Casi Cierto</w:t>
            </w:r>
            <w:r w:rsidR="006B25A8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39EB1103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6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9F87D01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7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1CE04BD5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63C9F442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9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55AC6590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10</w:t>
            </w:r>
          </w:p>
        </w:tc>
      </w:tr>
      <w:tr w:rsidR="00B7075C" w:rsidRPr="000C5392" w14:paraId="3E9BE526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45580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5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16D2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51EC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D08E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C14F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1D8EE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B7075C" w:rsidRPr="000C5392" w14:paraId="02E3B5B3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2AF9A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 xml:space="preserve">Probable 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B07AE1E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0AF8274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682C4F8A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06F45234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8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66025780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9</w:t>
            </w:r>
          </w:p>
        </w:tc>
      </w:tr>
      <w:tr w:rsidR="00B7075C" w:rsidRPr="000C5392" w14:paraId="4008085B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E5297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4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5E66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93D0F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81F4C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57EF3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1009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B7075C" w:rsidRPr="000C5392" w14:paraId="23D766D3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551CB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 xml:space="preserve">Posible 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0B8F9E35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1FB51958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19A0064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0C0DB161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7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EA0AD"/>
            <w:noWrap/>
            <w:vAlign w:val="center"/>
            <w:hideMark/>
          </w:tcPr>
          <w:p w14:paraId="045AA0CC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8</w:t>
            </w:r>
          </w:p>
        </w:tc>
      </w:tr>
      <w:tr w:rsidR="00B7075C" w:rsidRPr="000C5392" w14:paraId="6C1D9A0A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906B08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3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E0D8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C92E1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79CA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E8C4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6B64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B7075C" w:rsidRPr="000C5392" w14:paraId="379DC8D8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B731C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Improbable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A6BCE37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54D2F40A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BE8F83A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7387A5AE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6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35EBF188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7</w:t>
            </w:r>
          </w:p>
        </w:tc>
      </w:tr>
      <w:tr w:rsidR="00B7075C" w:rsidRPr="000C5392" w14:paraId="29AA72F6" w14:textId="77777777" w:rsidTr="006B25A8">
        <w:trPr>
          <w:trHeight w:val="9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EE986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2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9878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2DE74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DE15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0B295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C7A2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B7075C" w:rsidRPr="000C5392" w14:paraId="01E377AC" w14:textId="77777777" w:rsidTr="006B25A8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090A6E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Raro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74E1E73D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97101BA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1F5C0C12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947DDAA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9E79D"/>
            <w:noWrap/>
            <w:vAlign w:val="center"/>
            <w:hideMark/>
          </w:tcPr>
          <w:p w14:paraId="450F9567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0C5392">
              <w:rPr>
                <w:rFonts w:eastAsia="Times New Roman" w:cs="Arial"/>
                <w:b/>
                <w:bCs/>
              </w:rPr>
              <w:t>6</w:t>
            </w:r>
          </w:p>
        </w:tc>
      </w:tr>
      <w:tr w:rsidR="00B7075C" w:rsidRPr="000C5392" w14:paraId="513A7269" w14:textId="77777777" w:rsidTr="006B25A8">
        <w:trPr>
          <w:trHeight w:val="10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72C081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1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4FBF20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640A31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E7ABED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BB90CA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AE9296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B7075C" w:rsidRPr="000C5392" w14:paraId="5DD3ED13" w14:textId="77777777" w:rsidTr="006B25A8">
        <w:trPr>
          <w:trHeight w:val="420"/>
        </w:trPr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A4411F7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00"/>
              </w:rPr>
            </w:pPr>
            <w:r w:rsidRPr="000C5392">
              <w:rPr>
                <w:rFonts w:eastAsia="Times New Roman" w:cs="Arial"/>
                <w:b/>
                <w:bCs/>
                <w:color w:val="FFFF00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2192F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CDB7F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4C2F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97FD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AD8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5</w:t>
            </w:r>
          </w:p>
        </w:tc>
      </w:tr>
      <w:tr w:rsidR="00B7075C" w:rsidRPr="000C5392" w14:paraId="42A79335" w14:textId="77777777" w:rsidTr="006B25A8">
        <w:trPr>
          <w:trHeight w:val="106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3ACE5E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b/>
                <w:bCs/>
                <w:color w:val="FFFF00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A52B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Insignificante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453B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Menor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89D68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Moderado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B88BC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Mayor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41A2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0C5392">
              <w:rPr>
                <w:rFonts w:eastAsia="Times New Roman" w:cs="Arial"/>
                <w:b/>
                <w:bCs/>
                <w:color w:val="000000"/>
              </w:rPr>
              <w:t>Catastrófico</w:t>
            </w:r>
          </w:p>
        </w:tc>
      </w:tr>
      <w:tr w:rsidR="00B7075C" w:rsidRPr="000C5392" w14:paraId="070467FE" w14:textId="77777777" w:rsidTr="006B25A8">
        <w:trPr>
          <w:trHeight w:val="159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2A4D" w14:textId="77777777" w:rsidR="00B7075C" w:rsidRPr="000C5392" w:rsidRDefault="00B7075C" w:rsidP="00C106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A1D7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C5392">
              <w:rPr>
                <w:rFonts w:eastAsia="Times New Roman" w:cs="Arial"/>
                <w:color w:val="000000"/>
              </w:rPr>
              <w:t>Obstruye la ejecución del contrato de manera intrascendente.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518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C5392">
              <w:rPr>
                <w:rFonts w:eastAsia="Times New Roman" w:cs="Arial"/>
                <w:color w:val="000000"/>
              </w:rPr>
              <w:t>Dificulta la ejecución del contrato de manera baja, aplicando medidas mínimas se pueden lograr el objeto contractual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0FC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C5392">
              <w:rPr>
                <w:rFonts w:eastAsia="Times New Roman" w:cs="Arial"/>
                <w:color w:val="000000"/>
              </w:rPr>
              <w:t>Afecta la ejecución del contrato sin alterar el beneficio para las partes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DEA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C5392">
              <w:rPr>
                <w:rFonts w:eastAsia="Times New Roman" w:cs="Arial"/>
                <w:color w:val="000000"/>
              </w:rPr>
              <w:t>Obstruye la ejecución del contrato sustancialmente pero aun así permite la consecución del objeto contractual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6F4" w14:textId="77777777" w:rsidR="00B7075C" w:rsidRPr="000C5392" w:rsidRDefault="00B7075C" w:rsidP="00C106D6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C5392">
              <w:rPr>
                <w:rFonts w:eastAsia="Times New Roman" w:cs="Arial"/>
                <w:color w:val="000000"/>
              </w:rPr>
              <w:t>Perturba la ejecución del contrato de manera grave imposibilitando la consecución del objeto contractual.</w:t>
            </w:r>
          </w:p>
        </w:tc>
      </w:tr>
    </w:tbl>
    <w:p w14:paraId="23607EA0" w14:textId="77777777" w:rsidR="00B7075C" w:rsidRPr="000C5392" w:rsidRDefault="00B7075C">
      <w:pPr>
        <w:rPr>
          <w:rFonts w:cs="Arial"/>
          <w:b/>
        </w:rPr>
      </w:pPr>
    </w:p>
    <w:p w14:paraId="737138A0" w14:textId="77777777" w:rsidR="00B7075C" w:rsidRPr="000C5392" w:rsidRDefault="00B7075C">
      <w:pPr>
        <w:rPr>
          <w:rFonts w:cs="Arial"/>
          <w:b/>
        </w:rPr>
      </w:pPr>
    </w:p>
    <w:p w14:paraId="75C1BF31" w14:textId="77777777" w:rsidR="00B7075C" w:rsidRPr="000C5392" w:rsidRDefault="00B7075C">
      <w:pPr>
        <w:rPr>
          <w:rFonts w:cs="Arial"/>
          <w:b/>
        </w:rPr>
      </w:pPr>
    </w:p>
    <w:p w14:paraId="470F7D6A" w14:textId="5CEFB7E3" w:rsidR="007767F2" w:rsidRPr="000C5392" w:rsidRDefault="003551DE">
      <w:pPr>
        <w:rPr>
          <w:rFonts w:cs="Arial"/>
          <w:b/>
          <w:lang w:val="en-US"/>
        </w:rPr>
      </w:pPr>
      <w:r w:rsidRPr="000C5392">
        <w:rPr>
          <w:rFonts w:cs="Arial"/>
          <w:b/>
          <w:lang w:val="en-US"/>
        </w:rPr>
        <w:t xml:space="preserve">MATRIZ DE RIESGOS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265"/>
        <w:gridCol w:w="265"/>
        <w:gridCol w:w="265"/>
        <w:gridCol w:w="266"/>
        <w:gridCol w:w="828"/>
        <w:gridCol w:w="937"/>
        <w:gridCol w:w="266"/>
        <w:gridCol w:w="266"/>
        <w:gridCol w:w="266"/>
        <w:gridCol w:w="266"/>
        <w:gridCol w:w="266"/>
        <w:gridCol w:w="1051"/>
        <w:gridCol w:w="266"/>
        <w:gridCol w:w="266"/>
        <w:gridCol w:w="266"/>
        <w:gridCol w:w="273"/>
        <w:gridCol w:w="241"/>
        <w:gridCol w:w="425"/>
        <w:gridCol w:w="567"/>
        <w:gridCol w:w="425"/>
        <w:gridCol w:w="709"/>
        <w:gridCol w:w="709"/>
      </w:tblGrid>
      <w:tr w:rsidR="00371BB9" w:rsidRPr="000C5392" w14:paraId="7630236F" w14:textId="77777777" w:rsidTr="00371BB9">
        <w:trPr>
          <w:trHeight w:val="990"/>
          <w:tblHeader/>
        </w:trPr>
        <w:tc>
          <w:tcPr>
            <w:tcW w:w="214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155CFC4A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N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2B4752EA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Clase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A449F0A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Fuente</w:t>
            </w:r>
          </w:p>
        </w:tc>
        <w:tc>
          <w:tcPr>
            <w:tcW w:w="26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5964023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Etapa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5027621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Tipo</w:t>
            </w:r>
          </w:p>
        </w:tc>
        <w:tc>
          <w:tcPr>
            <w:tcW w:w="828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11EA20D6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Descripción</w:t>
            </w:r>
          </w:p>
        </w:tc>
        <w:tc>
          <w:tcPr>
            <w:tcW w:w="93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vAlign w:val="center"/>
            <w:hideMark/>
          </w:tcPr>
          <w:p w14:paraId="5DFA727B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Consecuencia de la ocurrencia del evento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6C06B01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Probabilidad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579F947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Impacto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201069BC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Valoración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4E4D4D"/>
            <w:textDirection w:val="btLr"/>
            <w:vAlign w:val="center"/>
            <w:hideMark/>
          </w:tcPr>
          <w:p w14:paraId="30B5217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color w:val="FFFFFF"/>
                <w:lang w:eastAsia="es-CO"/>
              </w:rPr>
              <w:t>Categoría</w:t>
            </w:r>
          </w:p>
        </w:tc>
        <w:tc>
          <w:tcPr>
            <w:tcW w:w="266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2FD1E01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¿A quién se le asigna?</w:t>
            </w:r>
          </w:p>
        </w:tc>
        <w:tc>
          <w:tcPr>
            <w:tcW w:w="105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218DE676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Tratamiento/Control a ser implementado</w:t>
            </w:r>
          </w:p>
        </w:tc>
        <w:tc>
          <w:tcPr>
            <w:tcW w:w="1071" w:type="dxa"/>
            <w:gridSpan w:val="4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5BCF012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Impacto después del tratamiento</w:t>
            </w:r>
          </w:p>
        </w:tc>
        <w:tc>
          <w:tcPr>
            <w:tcW w:w="241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2F6B14AC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¿Afecta la ejecución del contrato?</w:t>
            </w:r>
          </w:p>
        </w:tc>
        <w:tc>
          <w:tcPr>
            <w:tcW w:w="42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hideMark/>
          </w:tcPr>
          <w:p w14:paraId="7624A4D9" w14:textId="127EB28D" w:rsidR="00371BB9" w:rsidRPr="000C5392" w:rsidRDefault="003551DE" w:rsidP="00371BB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 xml:space="preserve">Responsable por implementar el </w:t>
            </w:r>
            <w:r w:rsidR="00371BB9" w:rsidRPr="000C5392">
              <w:rPr>
                <w:rFonts w:eastAsia="Times New Roman" w:cs="Arial"/>
                <w:color w:val="000000"/>
                <w:lang w:eastAsia="es-CO"/>
              </w:rPr>
              <w:t>tratamiento</w:t>
            </w:r>
          </w:p>
          <w:p w14:paraId="3A04E17A" w14:textId="7FEE5AF7" w:rsidR="00371BB9" w:rsidRPr="000C5392" w:rsidRDefault="00371BB9" w:rsidP="00371BB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1DA495E3" w14:textId="77777777" w:rsidR="00371BB9" w:rsidRPr="000C5392" w:rsidRDefault="00371BB9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</w:p>
          <w:p w14:paraId="684ADAB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Fecha estimada en que se inicia el tratamiento</w:t>
            </w:r>
          </w:p>
        </w:tc>
        <w:tc>
          <w:tcPr>
            <w:tcW w:w="42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1AB66133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Fecha estimada en que se completa el tratamiento</w:t>
            </w:r>
          </w:p>
        </w:tc>
        <w:tc>
          <w:tcPr>
            <w:tcW w:w="1418" w:type="dxa"/>
            <w:gridSpan w:val="2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61BBA18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Monitoreo y revisión</w:t>
            </w:r>
          </w:p>
        </w:tc>
      </w:tr>
      <w:tr w:rsidR="00371BB9" w:rsidRPr="000C5392" w14:paraId="0186F2C6" w14:textId="77777777" w:rsidTr="00371BB9">
        <w:trPr>
          <w:trHeight w:val="480"/>
          <w:tblHeader/>
        </w:trPr>
        <w:tc>
          <w:tcPr>
            <w:tcW w:w="214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CC5B67" w14:textId="6DA2218F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DDB3E7B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EF8DA22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BD5484E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043BF37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828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20B6384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93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9F5A42E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A861C4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9BB42A4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FF86E63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8AF9983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3A136B8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105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ABCFB8C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4F0B075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Probabilidad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7526955C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Impacto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643CE00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Valoración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textDirection w:val="btLr"/>
            <w:vAlign w:val="center"/>
            <w:hideMark/>
          </w:tcPr>
          <w:p w14:paraId="0E6C802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Categoría</w:t>
            </w:r>
          </w:p>
        </w:tc>
        <w:tc>
          <w:tcPr>
            <w:tcW w:w="24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37E51A7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00F77EA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C783CC6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C05FEF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0E2D0BC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¿Cómo se realiza  el monitoreo?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14:paraId="712A5EE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Periodicidad</w:t>
            </w:r>
          </w:p>
        </w:tc>
      </w:tr>
      <w:tr w:rsidR="00371BB9" w:rsidRPr="000C5392" w14:paraId="6028AF23" w14:textId="77777777" w:rsidTr="00371BB9">
        <w:trPr>
          <w:trHeight w:val="1350"/>
          <w:tblHeader/>
        </w:trPr>
        <w:tc>
          <w:tcPr>
            <w:tcW w:w="214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11C5459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6DC9993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7FC6711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90AE463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1E866BC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828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BB9F9AF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93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8ACA20A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1D13006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12C4095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9B644E9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07E5BA4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FFFFFF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A8E5C04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105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26CAE7B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E6E61AC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BA5FE25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A139241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BDEA605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241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79408EC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527305B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56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76FF1B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42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2585CE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D8ADEE4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395AD5D" w14:textId="77777777" w:rsidR="003551DE" w:rsidRPr="000C5392" w:rsidRDefault="003551DE" w:rsidP="003551DE">
            <w:pPr>
              <w:spacing w:after="0" w:line="240" w:lineRule="auto"/>
              <w:rPr>
                <w:rFonts w:eastAsia="Times New Roman" w:cs="Arial"/>
                <w:color w:val="000000"/>
                <w:lang w:eastAsia="es-CO"/>
              </w:rPr>
            </w:pPr>
          </w:p>
        </w:tc>
      </w:tr>
      <w:tr w:rsidR="00371BB9" w:rsidRPr="000C5392" w14:paraId="2B0950E6" w14:textId="77777777" w:rsidTr="00371BB9">
        <w:trPr>
          <w:trHeight w:val="280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3D3B03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B1B703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General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6ADBA97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1DBF1F1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DDDA88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B9643BD" w14:textId="5E458238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Ausencia del contratista. Durante la ejecución del contrato puede presentarse ausencia del contratista por accidentes y/o enfermedades.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EB19290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Actividades y/o servicios a cargo del contratista no atendidos.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D505D2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F137066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7CBC601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0F78031C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A1C0E7C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1645F32" w14:textId="55642208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(f) Reducir consecuencias y probabilidades. Reprogramación de actividades.</w:t>
            </w:r>
            <w:r w:rsidRPr="000C5392">
              <w:rPr>
                <w:rFonts w:eastAsia="Times New Roman" w:cs="Arial"/>
                <w:lang w:eastAsia="es-CO"/>
              </w:rPr>
              <w:br/>
              <w:t>Contar con planes de contingencia para el reemplazo temporal o permanente del contratista.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2A4EB3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BDF6B2C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1F75EA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62FB6075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0B0492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5F38FD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BE3400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81BC9C5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0D186F20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D6BC8F5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Permanente</w:t>
            </w:r>
          </w:p>
        </w:tc>
      </w:tr>
      <w:tr w:rsidR="00371BB9" w:rsidRPr="000C5392" w14:paraId="3D62974E" w14:textId="77777777" w:rsidTr="00371BB9">
        <w:trPr>
          <w:trHeight w:val="175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F713EA1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2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67C6D5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General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7CA8E7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F68AC7E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DAE19F1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B2606EB" w14:textId="2E808A3F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Dificultades del contratista para acceder a la sede del MVCT donde desarrolla el contrato. Durante la ejecución del contrato puede presentarse ausencia del contratista por situaciones de orden </w:t>
            </w:r>
            <w:r w:rsidRPr="000C5392">
              <w:rPr>
                <w:rFonts w:eastAsia="Times New Roman" w:cs="Arial"/>
                <w:lang w:eastAsia="es-CO"/>
              </w:rPr>
              <w:lastRenderedPageBreak/>
              <w:t>público.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CE45370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Actividades y/o servicios a cargo del contratista no atendidos.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61E95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D42BAC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4033E68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5B7DC96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3A4B2B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6069BE39" w14:textId="5453F03E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(f) Reducir consecuencias y probabilidades. Reprogramación de actividades.</w:t>
            </w:r>
            <w:r w:rsidRPr="000C5392">
              <w:rPr>
                <w:rFonts w:eastAsia="Times New Roman" w:cs="Arial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3B36813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4AC72C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6BCEA68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187959A5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270DBD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ADC8B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BF96AD3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A83EB6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1EBBF70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C1C1BC7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Permanente</w:t>
            </w:r>
          </w:p>
        </w:tc>
      </w:tr>
      <w:tr w:rsidR="00371BB9" w:rsidRPr="000C5392" w14:paraId="3ABDE3D9" w14:textId="77777777" w:rsidTr="00371BB9">
        <w:trPr>
          <w:trHeight w:val="2700"/>
        </w:trPr>
        <w:tc>
          <w:tcPr>
            <w:tcW w:w="214" w:type="dxa"/>
            <w:tcBorders>
              <w:top w:val="nil"/>
              <w:left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A536867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CD8DB76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667FF81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C1D633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D43304E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5A0E8A5" w14:textId="432B3232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Perdida o daños en la información que requiera el contratista para el desarrollo del contrato. Durante el plazo de ejecución del contrato se podría presentar perdid</w:t>
            </w:r>
            <w:r w:rsidRPr="000C5392">
              <w:rPr>
                <w:rFonts w:eastAsia="Times New Roman" w:cs="Arial"/>
                <w:lang w:eastAsia="es-CO"/>
              </w:rPr>
              <w:lastRenderedPageBreak/>
              <w:t>a, robo, o daños de los equipos en donde se procese o almacene información, así como en archivo físico que utiliza el contratista.</w:t>
            </w:r>
          </w:p>
        </w:tc>
        <w:tc>
          <w:tcPr>
            <w:tcW w:w="937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909C049" w14:textId="7A83DAB8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Retrasos en el desarrollo de actividades del contrato.</w:t>
            </w:r>
            <w:r w:rsidRPr="000C5392">
              <w:rPr>
                <w:rFonts w:eastAsia="Times New Roman" w:cs="Arial"/>
                <w:lang w:eastAsia="es-CO"/>
              </w:rPr>
              <w:br/>
              <w:t>Reprocesos, por necesidad de repetir actividades de recolección de información.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62268CA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1AF70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283CC18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1539749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396DF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2E3DAB3D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(f) Reducir consecuencias y probabilidades. Contar con herramientas que permitan guardar copias de respaldo de la información generada y necesaria para el contrato.</w:t>
            </w:r>
            <w:r w:rsidRPr="000C5392">
              <w:rPr>
                <w:rFonts w:eastAsia="Times New Roman" w:cs="Arial"/>
                <w:lang w:eastAsia="es-CO"/>
              </w:rPr>
              <w:br/>
              <w:t xml:space="preserve">Contar con planes de </w:t>
            </w:r>
            <w:r w:rsidRPr="000C5392">
              <w:rPr>
                <w:rFonts w:eastAsia="Times New Roman" w:cs="Arial"/>
                <w:lang w:eastAsia="es-CO"/>
              </w:rPr>
              <w:lastRenderedPageBreak/>
              <w:t>contingencia.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EDF0BFE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DDBD808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5FB6CB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6985AE9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88702F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887A3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4C67A2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D4A3903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0379FD10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6A6A6"/>
            </w:tcBorders>
            <w:shd w:val="clear" w:color="auto" w:fill="auto"/>
            <w:hideMark/>
          </w:tcPr>
          <w:p w14:paraId="79EE0189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Permanente</w:t>
            </w:r>
          </w:p>
        </w:tc>
      </w:tr>
      <w:tr w:rsidR="00371BB9" w:rsidRPr="000C5392" w14:paraId="1C8917ED" w14:textId="77777777" w:rsidTr="00371BB9">
        <w:trPr>
          <w:trHeight w:val="2700"/>
        </w:trPr>
        <w:tc>
          <w:tcPr>
            <w:tcW w:w="214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1DAD81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39FF50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A87896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Externa</w:t>
            </w:r>
          </w:p>
        </w:tc>
        <w:tc>
          <w:tcPr>
            <w:tcW w:w="26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CAFCE7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F8FDFE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D8E723E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Errores o deficiencias en entregables y productos que desarr</w:t>
            </w:r>
            <w:r w:rsidRPr="000C5392">
              <w:rPr>
                <w:rFonts w:eastAsia="Times New Roman" w:cs="Arial"/>
                <w:lang w:eastAsia="es-CO"/>
              </w:rPr>
              <w:lastRenderedPageBreak/>
              <w:t>olle el contratista. Debido al uso de información errada, desactualizada o en general por causas atribuibles al contratista.</w:t>
            </w:r>
          </w:p>
        </w:tc>
        <w:tc>
          <w:tcPr>
            <w:tcW w:w="937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3CC1AAFC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Errores en la toma de decisiones por parte del MVCT, basada en la informa</w:t>
            </w:r>
            <w:r w:rsidRPr="000C5392">
              <w:rPr>
                <w:rFonts w:eastAsia="Times New Roman" w:cs="Arial"/>
                <w:lang w:eastAsia="es-CO"/>
              </w:rPr>
              <w:lastRenderedPageBreak/>
              <w:t>ción suministrada por el contratista.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C9660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3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55CFF21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BB458F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7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30C5327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7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82D4D42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CF98A89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(f) Reducir consecuencias y probabilidades. Contar con un plan trabajo que </w:t>
            </w:r>
            <w:r w:rsidRPr="000C5392">
              <w:rPr>
                <w:rFonts w:eastAsia="Times New Roman" w:cs="Arial"/>
                <w:lang w:eastAsia="es-CO"/>
              </w:rPr>
              <w:lastRenderedPageBreak/>
              <w:t>permita establecer un orden y los recursos necesarios para el cumplimiento de las actividades del contrato.</w:t>
            </w:r>
            <w:r w:rsidRPr="000C5392">
              <w:rPr>
                <w:rFonts w:eastAsia="Times New Roman" w:cs="Arial"/>
                <w:lang w:eastAsia="es-CO"/>
              </w:rPr>
              <w:br/>
              <w:t>Contar con herramienta que facilite el uso de la información.</w:t>
            </w:r>
            <w:r w:rsidRPr="000C5392">
              <w:rPr>
                <w:rFonts w:eastAsia="Times New Roman" w:cs="Arial"/>
                <w:lang w:eastAsia="es-CO"/>
              </w:rPr>
              <w:br/>
              <w:t>Contar con planes de contingencia.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C446E08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3DEE97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2</w:t>
            </w:r>
          </w:p>
        </w:tc>
        <w:tc>
          <w:tcPr>
            <w:tcW w:w="266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AF6EDD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4E0F734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Bajo</w:t>
            </w:r>
          </w:p>
        </w:tc>
        <w:tc>
          <w:tcPr>
            <w:tcW w:w="241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1C53AC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Si</w:t>
            </w:r>
          </w:p>
        </w:tc>
        <w:tc>
          <w:tcPr>
            <w:tcW w:w="42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66D175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22675F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889935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0E6A3C2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3B252F01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Permanente</w:t>
            </w:r>
          </w:p>
        </w:tc>
      </w:tr>
      <w:tr w:rsidR="00371BB9" w:rsidRPr="000C5392" w14:paraId="6DC288C0" w14:textId="77777777" w:rsidTr="00371BB9">
        <w:trPr>
          <w:trHeight w:val="3435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2679B6A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BC213D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F7EF865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50BE87A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4E2432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735DBF1" w14:textId="1CD8DCA8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Accidentes Laborales Durante la ejecución del contrato pueden presentarse accidentes de orden laboral que afecten la salud e integridad física del contratista.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6843AB07" w14:textId="20200C5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Acciones legales hacia el ministerio para el pago de indemnizaciones.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7051CC3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A2D29EC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1AE2EB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C00000"/>
            <w:vAlign w:val="center"/>
            <w:hideMark/>
          </w:tcPr>
          <w:p w14:paraId="7242A5C6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b/>
                <w:bCs/>
                <w:color w:val="FFFFFF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DE9CD6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MVCT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5433739D" w14:textId="142F9532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(d) Reducir la probabilidad de la ocurrencia del evento. Implementar de Sistema de Gestión y Seguridad en el Trabajo. Afiliación al día en el Sistema General de Riesgos Laborales.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4E73EE1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6641D5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9C6B07C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5CE27"/>
            <w:noWrap/>
            <w:textDirection w:val="btLr"/>
            <w:vAlign w:val="center"/>
            <w:hideMark/>
          </w:tcPr>
          <w:p w14:paraId="266D2DA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Medio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7D711B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868E1E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MVCT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AB098D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3E361AB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526AB80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078E00D4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Permanente</w:t>
            </w:r>
          </w:p>
        </w:tc>
      </w:tr>
      <w:tr w:rsidR="00371BB9" w:rsidRPr="000C5392" w14:paraId="13571ECB" w14:textId="77777777" w:rsidTr="00371BB9">
        <w:trPr>
          <w:trHeight w:val="2310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B050F61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6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2BF026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CA8E1EE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5F058AE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086D05F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EF49917" w14:textId="24F555E9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Demoras en la ejecución de las actividades y entrega de productos e informes. Tardía o defectuosa apropiación de información elementos o insumos para el desarrollo de actividades.</w:t>
            </w:r>
            <w:r w:rsidRPr="000C5392">
              <w:rPr>
                <w:rFonts w:eastAsia="Times New Roman" w:cs="Arial"/>
                <w:lang w:eastAsia="es-CO"/>
              </w:rPr>
              <w:br/>
              <w:t>Orden público.</w:t>
            </w:r>
            <w:r w:rsidRPr="000C5392">
              <w:rPr>
                <w:rFonts w:eastAsia="Times New Roman" w:cs="Arial"/>
                <w:lang w:eastAsia="es-CO"/>
              </w:rPr>
              <w:br/>
            </w:r>
            <w:r w:rsidRPr="000C5392">
              <w:rPr>
                <w:rFonts w:eastAsia="Times New Roman" w:cs="Arial"/>
                <w:lang w:eastAsia="es-CO"/>
              </w:rPr>
              <w:lastRenderedPageBreak/>
              <w:t>Enfermedad.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8A1D342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Retrasos en cronograma de actividades. Necesidad de reprogramación de actividades.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33264E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F555778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8096BD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vAlign w:val="center"/>
            <w:hideMark/>
          </w:tcPr>
          <w:p w14:paraId="0C7BCBE3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4498BB3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14810967" w14:textId="3C4EB6EB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(d) Reducir la probabilidad de la ocurrencia del evento. Implementación, apropiación y aplicación de manuales de procedimientos y funciones para el desempeño de sus obligaciones.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55270D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6BE9E7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9D269AA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00B050"/>
            <w:noWrap/>
            <w:textDirection w:val="btLr"/>
            <w:vAlign w:val="center"/>
            <w:hideMark/>
          </w:tcPr>
          <w:p w14:paraId="282C733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Bajo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C4C6091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92169E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1E78FFE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B8BC00B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B532564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FCE2B12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Permanente</w:t>
            </w:r>
          </w:p>
        </w:tc>
      </w:tr>
      <w:tr w:rsidR="00371BB9" w:rsidRPr="000C5392" w14:paraId="525D8D56" w14:textId="77777777" w:rsidTr="00371BB9">
        <w:trPr>
          <w:trHeight w:val="2310"/>
        </w:trPr>
        <w:tc>
          <w:tcPr>
            <w:tcW w:w="214" w:type="dxa"/>
            <w:tcBorders>
              <w:top w:val="nil"/>
              <w:left w:val="single" w:sz="8" w:space="0" w:color="A6A6A6"/>
              <w:bottom w:val="single" w:sz="4" w:space="0" w:color="auto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0450FA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7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475BB67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Específico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3A33A6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Externa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80569E6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 Ejecución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2BC719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Operacionales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725EDAA3" w14:textId="56962E6E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Infidelidad de contratista. Actos deshonestos, fraude, falsificación, delitos electrónicos, entre otras.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3BF69A2C" w14:textId="002BA84D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Pérdidas patrimoniales para la entidad. </w:t>
            </w:r>
            <w:r w:rsidRPr="000C5392">
              <w:rPr>
                <w:rFonts w:eastAsia="Times New Roman" w:cs="Arial"/>
                <w:lang w:eastAsia="es-CO"/>
              </w:rPr>
              <w:br/>
              <w:t>Acciones de entes de control.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7E8566AB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5EC0A26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F236C64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C00000"/>
            <w:vAlign w:val="center"/>
            <w:hideMark/>
          </w:tcPr>
          <w:p w14:paraId="2D01EE6E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es-CO"/>
              </w:rPr>
            </w:pPr>
            <w:r w:rsidRPr="000C5392">
              <w:rPr>
                <w:rFonts w:eastAsia="Times New Roman" w:cs="Arial"/>
                <w:b/>
                <w:bCs/>
                <w:color w:val="FFFFFF"/>
                <w:lang w:eastAsia="es-CO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E24AAFB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1FC041CB" w14:textId="46FBDEA4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(f) Reducir consecuencias y probabilidades. Incrementar frecuencia de auditorías de gestión.</w:t>
            </w:r>
            <w:r w:rsidRPr="000C5392">
              <w:rPr>
                <w:rFonts w:eastAsia="Times New Roman" w:cs="Arial"/>
                <w:lang w:eastAsia="es-CO"/>
              </w:rPr>
              <w:br/>
              <w:t xml:space="preserve">Aplicación de doble </w:t>
            </w:r>
            <w:proofErr w:type="spellStart"/>
            <w:r w:rsidRPr="000C5392">
              <w:rPr>
                <w:rFonts w:eastAsia="Times New Roman" w:cs="Arial"/>
                <w:lang w:eastAsia="es-CO"/>
              </w:rPr>
              <w:t>check</w:t>
            </w:r>
            <w:proofErr w:type="spellEnd"/>
            <w:r w:rsidRPr="000C5392">
              <w:rPr>
                <w:rFonts w:eastAsia="Times New Roman" w:cs="Arial"/>
                <w:lang w:eastAsia="es-CO"/>
              </w:rPr>
              <w:t xml:space="preserve"> </w:t>
            </w:r>
            <w:proofErr w:type="spellStart"/>
            <w:r w:rsidRPr="000C5392">
              <w:rPr>
                <w:rFonts w:eastAsia="Times New Roman" w:cs="Arial"/>
                <w:lang w:eastAsia="es-CO"/>
              </w:rPr>
              <w:t>list</w:t>
            </w:r>
            <w:proofErr w:type="spellEnd"/>
            <w:r w:rsidRPr="000C5392">
              <w:rPr>
                <w:rFonts w:eastAsia="Times New Roman" w:cs="Arial"/>
                <w:lang w:eastAsia="es-CO"/>
              </w:rPr>
              <w:t xml:space="preserve"> a la gestión del contratista.</w:t>
            </w:r>
            <w:r w:rsidRPr="000C5392">
              <w:rPr>
                <w:rFonts w:eastAsia="Times New Roman" w:cs="Arial"/>
                <w:lang w:eastAsia="es-CO"/>
              </w:rPr>
              <w:br/>
              <w:t xml:space="preserve">Contratación de Seguros </w:t>
            </w:r>
            <w:r w:rsidRPr="000C5392">
              <w:rPr>
                <w:rFonts w:eastAsia="Times New Roman" w:cs="Arial"/>
                <w:lang w:eastAsia="es-CO"/>
              </w:rPr>
              <w:lastRenderedPageBreak/>
              <w:t>suficiente.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2DA8BDB9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lastRenderedPageBreak/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3D8325CB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6B4DB070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6600"/>
            <w:noWrap/>
            <w:textDirection w:val="btLr"/>
            <w:vAlign w:val="center"/>
            <w:hideMark/>
          </w:tcPr>
          <w:p w14:paraId="1E76B4C5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O"/>
              </w:rPr>
            </w:pPr>
            <w:r w:rsidRPr="000C5392">
              <w:rPr>
                <w:rFonts w:eastAsia="Times New Roman" w:cs="Arial"/>
                <w:color w:val="000000"/>
                <w:lang w:eastAsia="es-CO"/>
              </w:rPr>
              <w:t>Alto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B01BB9D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1C874BE8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Contratista/MVCT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0D77BCE8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Desde el inicio de la ejecución de contrato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textDirection w:val="btLr"/>
            <w:vAlign w:val="center"/>
            <w:hideMark/>
          </w:tcPr>
          <w:p w14:paraId="4596B78B" w14:textId="77777777" w:rsidR="003551DE" w:rsidRPr="000C5392" w:rsidRDefault="003551DE" w:rsidP="003551DE">
            <w:pPr>
              <w:spacing w:after="0" w:line="240" w:lineRule="auto"/>
              <w:jc w:val="center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Hasta la terminación del plazo de ejecución del contrato.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420C303B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 xml:space="preserve">Seguimiento del contrato 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6A6A6"/>
            </w:tcBorders>
            <w:shd w:val="clear" w:color="auto" w:fill="auto"/>
            <w:hideMark/>
          </w:tcPr>
          <w:p w14:paraId="68A30E04" w14:textId="77777777" w:rsidR="003551DE" w:rsidRPr="000C5392" w:rsidRDefault="003551DE" w:rsidP="003551DE">
            <w:pPr>
              <w:spacing w:after="0" w:line="240" w:lineRule="auto"/>
              <w:jc w:val="both"/>
              <w:rPr>
                <w:rFonts w:eastAsia="Times New Roman" w:cs="Arial"/>
                <w:lang w:eastAsia="es-CO"/>
              </w:rPr>
            </w:pPr>
            <w:r w:rsidRPr="000C5392">
              <w:rPr>
                <w:rFonts w:eastAsia="Times New Roman" w:cs="Arial"/>
                <w:lang w:eastAsia="es-CO"/>
              </w:rPr>
              <w:t>Permanente</w:t>
            </w:r>
          </w:p>
        </w:tc>
      </w:tr>
    </w:tbl>
    <w:p w14:paraId="3ABD42D2" w14:textId="47990614" w:rsidR="003551DE" w:rsidRPr="000C5392" w:rsidRDefault="003551DE">
      <w:pPr>
        <w:rPr>
          <w:rFonts w:cs="Arial"/>
          <w:b/>
          <w:lang w:val="en-US"/>
        </w:rPr>
      </w:pPr>
    </w:p>
    <w:p w14:paraId="16FABD76" w14:textId="2C4315FC" w:rsidR="003551DE" w:rsidRPr="000C5392" w:rsidRDefault="003551DE">
      <w:pPr>
        <w:rPr>
          <w:rFonts w:cs="Arial"/>
          <w:b/>
        </w:rPr>
      </w:pPr>
    </w:p>
    <w:sectPr w:rsidR="003551DE" w:rsidRPr="000C5392" w:rsidSect="00B7075C">
      <w:headerReference w:type="default" r:id="rId10"/>
      <w:foot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C31D4" w14:textId="77777777" w:rsidR="00354E1C" w:rsidRDefault="00354E1C" w:rsidP="003E1B85">
      <w:pPr>
        <w:spacing w:after="0" w:line="240" w:lineRule="auto"/>
      </w:pPr>
      <w:r>
        <w:separator/>
      </w:r>
    </w:p>
  </w:endnote>
  <w:endnote w:type="continuationSeparator" w:id="0">
    <w:p w14:paraId="03AAC7C0" w14:textId="77777777" w:rsidR="00354E1C" w:rsidRDefault="00354E1C" w:rsidP="003E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-106024773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933C44" w14:textId="26979D53" w:rsidR="003E1B85" w:rsidRPr="00262E6F" w:rsidRDefault="003E1B85" w:rsidP="00262E6F">
            <w:pPr>
              <w:pStyle w:val="Piedepgina"/>
              <w:jc w:val="right"/>
              <w:rPr>
                <w:rFonts w:cs="Arial"/>
                <w:sz w:val="18"/>
                <w:szCs w:val="18"/>
              </w:rPr>
            </w:pPr>
            <w:r w:rsidRPr="000C5392">
              <w:rPr>
                <w:rFonts w:cs="Arial"/>
                <w:sz w:val="18"/>
                <w:szCs w:val="18"/>
                <w:lang w:val="es-ES"/>
              </w:rPr>
              <w:t xml:space="preserve">Página </w:t>
            </w:r>
            <w:r w:rsidRPr="000C5392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C5392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0C539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62E6F">
              <w:rPr>
                <w:rFonts w:cs="Arial"/>
                <w:b/>
                <w:bCs/>
                <w:noProof/>
                <w:sz w:val="18"/>
                <w:szCs w:val="18"/>
              </w:rPr>
              <w:t>10</w:t>
            </w:r>
            <w:r w:rsidRPr="000C5392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C5392">
              <w:rPr>
                <w:rFonts w:cs="Arial"/>
                <w:sz w:val="18"/>
                <w:szCs w:val="18"/>
                <w:lang w:val="es-ES"/>
              </w:rPr>
              <w:t xml:space="preserve"> de </w:t>
            </w:r>
            <w:r w:rsidRPr="000C5392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C5392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0C539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62E6F">
              <w:rPr>
                <w:rFonts w:cs="Arial"/>
                <w:b/>
                <w:bCs/>
                <w:noProof/>
                <w:sz w:val="18"/>
                <w:szCs w:val="18"/>
              </w:rPr>
              <w:t>11</w:t>
            </w:r>
            <w:r w:rsidRPr="000C5392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E972" w14:textId="77777777" w:rsidR="00354E1C" w:rsidRDefault="00354E1C" w:rsidP="003E1B85">
      <w:pPr>
        <w:spacing w:after="0" w:line="240" w:lineRule="auto"/>
      </w:pPr>
      <w:r>
        <w:separator/>
      </w:r>
    </w:p>
  </w:footnote>
  <w:footnote w:type="continuationSeparator" w:id="0">
    <w:p w14:paraId="4EDFF929" w14:textId="77777777" w:rsidR="00354E1C" w:rsidRDefault="00354E1C" w:rsidP="003E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29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0"/>
      <w:gridCol w:w="4895"/>
      <w:gridCol w:w="2081"/>
    </w:tblGrid>
    <w:tr w:rsidR="003E1B85" w:rsidRPr="00E32873" w14:paraId="50C0DB48" w14:textId="77777777" w:rsidTr="006B25A8">
      <w:trPr>
        <w:cantSplit/>
        <w:trHeight w:val="366"/>
        <w:tblHeader/>
      </w:trPr>
      <w:tc>
        <w:tcPr>
          <w:tcW w:w="1272" w:type="pct"/>
          <w:vMerge w:val="restart"/>
          <w:tcBorders>
            <w:top w:val="thickThinLargeGap" w:sz="6" w:space="0" w:color="C0C0C0"/>
            <w:left w:val="thickThinLargeGap" w:sz="6" w:space="0" w:color="C0C0C0"/>
            <w:bottom w:val="thinThickLargeGap" w:sz="6" w:space="0" w:color="C0C0C0"/>
            <w:right w:val="single" w:sz="6" w:space="0" w:color="auto"/>
          </w:tcBorders>
          <w:vAlign w:val="center"/>
        </w:tcPr>
        <w:p w14:paraId="5219CEEC" w14:textId="058DFD34" w:rsidR="003E1B85" w:rsidRPr="006B25A8" w:rsidRDefault="006B25A8" w:rsidP="006B25A8">
          <w:pPr>
            <w:rPr>
              <w:rFonts w:cs="Arial"/>
            </w:rPr>
          </w:pPr>
          <w:r>
            <w:rPr>
              <w:rFonts w:cs="Arial"/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31BA2D30" wp14:editId="789BB232">
                <wp:simplePos x="0" y="0"/>
                <wp:positionH relativeFrom="column">
                  <wp:posOffset>46355</wp:posOffset>
                </wp:positionH>
                <wp:positionV relativeFrom="paragraph">
                  <wp:posOffset>77470</wp:posOffset>
                </wp:positionV>
                <wp:extent cx="1352550" cy="379095"/>
                <wp:effectExtent l="0" t="0" r="0" b="1905"/>
                <wp:wrapNone/>
                <wp:docPr id="2" name="Imagen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379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1B85" w:rsidRPr="00E32873">
            <w:rPr>
              <w:rFonts w:cs="Arial"/>
              <w:noProof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4FFA967" wp14:editId="3826A1D6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38D679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</w:tc>
      <w:tc>
        <w:tcPr>
          <w:tcW w:w="2616" w:type="pct"/>
          <w:vMerge w:val="restart"/>
          <w:tcBorders>
            <w:top w:val="thickThinLargeGap" w:sz="6" w:space="0" w:color="C0C0C0"/>
            <w:left w:val="single" w:sz="6" w:space="0" w:color="auto"/>
            <w:bottom w:val="thinThickLargeGap" w:sz="6" w:space="0" w:color="C0C0C0"/>
            <w:right w:val="single" w:sz="6" w:space="0" w:color="auto"/>
          </w:tcBorders>
          <w:vAlign w:val="center"/>
        </w:tcPr>
        <w:p w14:paraId="43242507" w14:textId="53E6BBC0" w:rsidR="003E1B85" w:rsidRPr="006B25A8" w:rsidRDefault="006B25A8" w:rsidP="004D4FE9">
          <w:pPr>
            <w:pStyle w:val="Encabezado"/>
            <w:jc w:val="center"/>
            <w:rPr>
              <w:rFonts w:cs="Arial"/>
              <w:lang w:val="es-PE"/>
            </w:rPr>
          </w:pPr>
          <w:r>
            <w:rPr>
              <w:rFonts w:cs="Arial"/>
              <w:b/>
              <w:lang w:val="es-PE"/>
            </w:rPr>
            <w:t xml:space="preserve">FORMATO: </w:t>
          </w:r>
          <w:r w:rsidRPr="006B25A8">
            <w:rPr>
              <w:rFonts w:cs="Arial"/>
              <w:lang w:val="es-PE"/>
            </w:rPr>
            <w:t>ANÁ</w:t>
          </w:r>
          <w:r w:rsidR="003E1B85" w:rsidRPr="006B25A8">
            <w:rPr>
              <w:rFonts w:cs="Arial"/>
              <w:lang w:val="es-PE"/>
            </w:rPr>
            <w:t>LISIS DE RIESGOS PRESTACIÓN DE SERVICIOS PROFESIONALES - OFICINA</w:t>
          </w:r>
        </w:p>
        <w:p w14:paraId="5CAD4998" w14:textId="77777777" w:rsidR="003E1B85" w:rsidRPr="00E32873" w:rsidRDefault="003E1B85" w:rsidP="004D4FE9">
          <w:pPr>
            <w:pStyle w:val="Encabezado"/>
            <w:jc w:val="center"/>
            <w:rPr>
              <w:rFonts w:cs="Arial"/>
              <w:b/>
              <w:lang w:val="es-PE"/>
            </w:rPr>
          </w:pPr>
        </w:p>
        <w:p w14:paraId="7EED3411" w14:textId="77777777" w:rsidR="003E1B85" w:rsidRPr="00E32873" w:rsidRDefault="003E1B85" w:rsidP="004D4FE9">
          <w:pPr>
            <w:pStyle w:val="Encabezado"/>
            <w:jc w:val="center"/>
            <w:rPr>
              <w:rFonts w:cs="Arial"/>
              <w:b/>
            </w:rPr>
          </w:pPr>
          <w:r w:rsidRPr="00E32873">
            <w:rPr>
              <w:rFonts w:cs="Arial"/>
              <w:b/>
              <w:lang w:val="es-PE"/>
            </w:rPr>
            <w:t xml:space="preserve">PROCESO: </w:t>
          </w:r>
          <w:r w:rsidRPr="006B25A8">
            <w:rPr>
              <w:rFonts w:cs="Arial"/>
              <w:lang w:val="es-PE"/>
            </w:rPr>
            <w:t>GESTIÓN DE CONTRATACIÓN</w:t>
          </w:r>
          <w:r w:rsidRPr="00E32873">
            <w:rPr>
              <w:rFonts w:cs="Arial"/>
              <w:b/>
              <w:lang w:val="es-PE"/>
            </w:rPr>
            <w:t xml:space="preserve"> </w:t>
          </w:r>
        </w:p>
      </w:tc>
      <w:tc>
        <w:tcPr>
          <w:tcW w:w="1112" w:type="pct"/>
          <w:tcBorders>
            <w:top w:val="thickThinLargeGap" w:sz="6" w:space="0" w:color="C0C0C0"/>
            <w:left w:val="single" w:sz="6" w:space="0" w:color="auto"/>
            <w:bottom w:val="single" w:sz="6" w:space="0" w:color="auto"/>
            <w:right w:val="thinThickLargeGap" w:sz="6" w:space="0" w:color="C0C0C0"/>
          </w:tcBorders>
          <w:vAlign w:val="center"/>
          <w:hideMark/>
        </w:tcPr>
        <w:p w14:paraId="6CF366EF" w14:textId="087AFC4D" w:rsidR="003E1B85" w:rsidRPr="00E32873" w:rsidRDefault="003E1B85" w:rsidP="009071C7">
          <w:pPr>
            <w:pStyle w:val="Encabezado"/>
            <w:spacing w:before="20" w:after="20"/>
            <w:jc w:val="center"/>
            <w:rPr>
              <w:rFonts w:cs="Arial"/>
            </w:rPr>
          </w:pPr>
          <w:r w:rsidRPr="00E32873">
            <w:rPr>
              <w:rFonts w:cs="Arial"/>
            </w:rPr>
            <w:t xml:space="preserve">Versión: </w:t>
          </w:r>
          <w:r w:rsidR="009071C7">
            <w:rPr>
              <w:rFonts w:cs="Arial"/>
            </w:rPr>
            <w:t>2</w:t>
          </w:r>
          <w:r w:rsidRPr="00E32873">
            <w:rPr>
              <w:rFonts w:cs="Arial"/>
            </w:rPr>
            <w:t>.0</w:t>
          </w:r>
        </w:p>
      </w:tc>
    </w:tr>
    <w:tr w:rsidR="003E1B85" w:rsidRPr="00E32873" w14:paraId="6BC8742A" w14:textId="77777777" w:rsidTr="006B25A8">
      <w:trPr>
        <w:cantSplit/>
        <w:trHeight w:val="360"/>
        <w:tblHeader/>
      </w:trPr>
      <w:tc>
        <w:tcPr>
          <w:tcW w:w="1272" w:type="pct"/>
          <w:vMerge/>
          <w:tcBorders>
            <w:top w:val="thickThinLargeGap" w:sz="6" w:space="0" w:color="C0C0C0"/>
            <w:left w:val="thickThinLargeGap" w:sz="6" w:space="0" w:color="C0C0C0"/>
            <w:bottom w:val="thinThickLargeGap" w:sz="6" w:space="0" w:color="C0C0C0"/>
            <w:right w:val="single" w:sz="6" w:space="0" w:color="auto"/>
          </w:tcBorders>
          <w:vAlign w:val="center"/>
          <w:hideMark/>
        </w:tcPr>
        <w:p w14:paraId="11A927C2" w14:textId="77777777" w:rsidR="003E1B85" w:rsidRPr="00E32873" w:rsidRDefault="003E1B85" w:rsidP="004D4FE9">
          <w:pPr>
            <w:rPr>
              <w:rFonts w:cs="Arial"/>
              <w:lang w:val="es-ES" w:eastAsia="es-ES"/>
            </w:rPr>
          </w:pPr>
        </w:p>
      </w:tc>
      <w:tc>
        <w:tcPr>
          <w:tcW w:w="2616" w:type="pct"/>
          <w:vMerge/>
          <w:tcBorders>
            <w:top w:val="thickThinLargeGap" w:sz="6" w:space="0" w:color="C0C0C0"/>
            <w:left w:val="single" w:sz="6" w:space="0" w:color="auto"/>
            <w:bottom w:val="thinThickLargeGap" w:sz="6" w:space="0" w:color="C0C0C0"/>
            <w:right w:val="single" w:sz="6" w:space="0" w:color="auto"/>
          </w:tcBorders>
          <w:vAlign w:val="center"/>
          <w:hideMark/>
        </w:tcPr>
        <w:p w14:paraId="216705B6" w14:textId="77777777" w:rsidR="003E1B85" w:rsidRPr="00E32873" w:rsidRDefault="003E1B85" w:rsidP="004D4FE9">
          <w:pPr>
            <w:rPr>
              <w:rFonts w:cs="Arial"/>
              <w:b/>
              <w:lang w:val="es-ES" w:eastAsia="es-ES"/>
            </w:rPr>
          </w:pPr>
        </w:p>
      </w:tc>
      <w:tc>
        <w:tcPr>
          <w:tcW w:w="11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thinThickLargeGap" w:sz="6" w:space="0" w:color="C0C0C0"/>
          </w:tcBorders>
          <w:vAlign w:val="center"/>
          <w:hideMark/>
        </w:tcPr>
        <w:p w14:paraId="0852CE7E" w14:textId="16B4FABF" w:rsidR="003E1B85" w:rsidRPr="00E32873" w:rsidRDefault="003E1B85" w:rsidP="009071C7">
          <w:pPr>
            <w:pStyle w:val="Encabezado"/>
            <w:spacing w:before="20" w:after="20"/>
            <w:jc w:val="center"/>
            <w:rPr>
              <w:rFonts w:cs="Arial"/>
            </w:rPr>
          </w:pPr>
          <w:r w:rsidRPr="00E32873">
            <w:rPr>
              <w:rFonts w:cs="Arial"/>
            </w:rPr>
            <w:t>Fecha:</w:t>
          </w:r>
          <w:r w:rsidR="009071C7">
            <w:rPr>
              <w:rFonts w:cs="Arial"/>
            </w:rPr>
            <w:t xml:space="preserve"> 06/09/2019</w:t>
          </w:r>
        </w:p>
      </w:tc>
    </w:tr>
    <w:tr w:rsidR="003E1B85" w:rsidRPr="00E32873" w14:paraId="4D2524C0" w14:textId="77777777" w:rsidTr="006B25A8">
      <w:trPr>
        <w:cantSplit/>
        <w:trHeight w:val="379"/>
        <w:tblHeader/>
      </w:trPr>
      <w:tc>
        <w:tcPr>
          <w:tcW w:w="1272" w:type="pct"/>
          <w:vMerge/>
          <w:tcBorders>
            <w:top w:val="thickThinLargeGap" w:sz="6" w:space="0" w:color="C0C0C0"/>
            <w:left w:val="thickThinLargeGap" w:sz="6" w:space="0" w:color="C0C0C0"/>
            <w:bottom w:val="thinThickLargeGap" w:sz="6" w:space="0" w:color="C0C0C0"/>
            <w:right w:val="single" w:sz="6" w:space="0" w:color="auto"/>
          </w:tcBorders>
          <w:vAlign w:val="center"/>
          <w:hideMark/>
        </w:tcPr>
        <w:p w14:paraId="041D5889" w14:textId="77777777" w:rsidR="003E1B85" w:rsidRPr="00E32873" w:rsidRDefault="003E1B85" w:rsidP="004D4FE9">
          <w:pPr>
            <w:rPr>
              <w:rFonts w:cs="Arial"/>
              <w:lang w:val="es-ES" w:eastAsia="es-ES"/>
            </w:rPr>
          </w:pPr>
        </w:p>
      </w:tc>
      <w:tc>
        <w:tcPr>
          <w:tcW w:w="2616" w:type="pct"/>
          <w:vMerge/>
          <w:tcBorders>
            <w:top w:val="thickThinLargeGap" w:sz="6" w:space="0" w:color="C0C0C0"/>
            <w:left w:val="single" w:sz="6" w:space="0" w:color="auto"/>
            <w:bottom w:val="thinThickLargeGap" w:sz="6" w:space="0" w:color="C0C0C0"/>
            <w:right w:val="single" w:sz="6" w:space="0" w:color="auto"/>
          </w:tcBorders>
          <w:vAlign w:val="center"/>
          <w:hideMark/>
        </w:tcPr>
        <w:p w14:paraId="74DA3B2F" w14:textId="77777777" w:rsidR="003E1B85" w:rsidRPr="00E32873" w:rsidRDefault="003E1B85" w:rsidP="004D4FE9">
          <w:pPr>
            <w:rPr>
              <w:rFonts w:cs="Arial"/>
              <w:b/>
              <w:lang w:val="es-ES" w:eastAsia="es-ES"/>
            </w:rPr>
          </w:pPr>
        </w:p>
      </w:tc>
      <w:tc>
        <w:tcPr>
          <w:tcW w:w="1112" w:type="pct"/>
          <w:tcBorders>
            <w:top w:val="single" w:sz="6" w:space="0" w:color="auto"/>
            <w:left w:val="single" w:sz="6" w:space="0" w:color="auto"/>
            <w:bottom w:val="thinThickLargeGap" w:sz="6" w:space="0" w:color="C0C0C0"/>
            <w:right w:val="thinThickLargeGap" w:sz="6" w:space="0" w:color="C0C0C0"/>
          </w:tcBorders>
          <w:vAlign w:val="center"/>
          <w:hideMark/>
        </w:tcPr>
        <w:p w14:paraId="731D7BD9" w14:textId="7C7D5D15" w:rsidR="003E1B85" w:rsidRPr="00E32873" w:rsidRDefault="003E1B85" w:rsidP="009071C7">
          <w:pPr>
            <w:pStyle w:val="Encabezado"/>
            <w:spacing w:before="20" w:after="20"/>
            <w:jc w:val="center"/>
            <w:rPr>
              <w:rFonts w:cs="Arial"/>
            </w:rPr>
          </w:pPr>
          <w:r w:rsidRPr="00E32873">
            <w:rPr>
              <w:rFonts w:cs="Arial"/>
            </w:rPr>
            <w:t>Código: GCT-F-34</w:t>
          </w:r>
        </w:p>
      </w:tc>
    </w:tr>
  </w:tbl>
  <w:p w14:paraId="635D8D3F" w14:textId="77777777" w:rsidR="003E1B85" w:rsidRDefault="003E1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407F"/>
    <w:multiLevelType w:val="hybridMultilevel"/>
    <w:tmpl w:val="12DA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4C98"/>
    <w:multiLevelType w:val="hybridMultilevel"/>
    <w:tmpl w:val="51BCFC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599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85"/>
    <w:rsid w:val="000619C9"/>
    <w:rsid w:val="00095D9A"/>
    <w:rsid w:val="000C5392"/>
    <w:rsid w:val="00262E6F"/>
    <w:rsid w:val="002737AD"/>
    <w:rsid w:val="002F0483"/>
    <w:rsid w:val="00354E1C"/>
    <w:rsid w:val="003551DE"/>
    <w:rsid w:val="00371BB9"/>
    <w:rsid w:val="003E1B85"/>
    <w:rsid w:val="00431A11"/>
    <w:rsid w:val="004505F2"/>
    <w:rsid w:val="004A3685"/>
    <w:rsid w:val="006B25A8"/>
    <w:rsid w:val="00766E5F"/>
    <w:rsid w:val="007767F2"/>
    <w:rsid w:val="007E4401"/>
    <w:rsid w:val="008D0799"/>
    <w:rsid w:val="009071C7"/>
    <w:rsid w:val="00930190"/>
    <w:rsid w:val="00951432"/>
    <w:rsid w:val="00A10A6E"/>
    <w:rsid w:val="00AC6499"/>
    <w:rsid w:val="00AF1EEF"/>
    <w:rsid w:val="00B7075C"/>
    <w:rsid w:val="00BB7FCE"/>
    <w:rsid w:val="00BD3525"/>
    <w:rsid w:val="00E32873"/>
    <w:rsid w:val="00EE14DF"/>
    <w:rsid w:val="00EE4249"/>
    <w:rsid w:val="00F16757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16E3872"/>
  <w15:docId w15:val="{C828CD94-37BD-4ED9-A68D-4225AAE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3551DE"/>
    <w:rPr>
      <w:rFonts w:ascii="Times New Roman" w:eastAsiaTheme="minorEastAsia" w:hAnsi="Times New Roman" w:cs="Times New Roman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3551DE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514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14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14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14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14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32"/>
    <w:rPr>
      <w:rFonts w:ascii="Segoe UI" w:hAnsi="Segoe UI" w:cs="Segoe UI"/>
      <w:sz w:val="18"/>
      <w:szCs w:val="18"/>
    </w:rPr>
  </w:style>
  <w:style w:type="character" w:customStyle="1" w:styleId="EncabezadoCar1">
    <w:name w:val="Encabezado Car1"/>
    <w:aliases w:val="Encabezado1 Car,encabezado Car,Encabezado Car Car Car Car Car Car,Encabezado Car Car Car Car,Alt Header Car,h Car"/>
    <w:link w:val="Encabezado"/>
    <w:uiPriority w:val="99"/>
    <w:locked/>
    <w:rsid w:val="00766E5F"/>
    <w:rPr>
      <w:lang w:val="es-ES"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1"/>
    <w:uiPriority w:val="99"/>
    <w:unhideWhenUsed/>
    <w:rsid w:val="00766E5F"/>
    <w:pPr>
      <w:tabs>
        <w:tab w:val="center" w:pos="4252"/>
        <w:tab w:val="right" w:pos="8504"/>
      </w:tabs>
      <w:spacing w:after="0" w:line="240" w:lineRule="auto"/>
    </w:pPr>
    <w:rPr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766E5F"/>
  </w:style>
  <w:style w:type="paragraph" w:styleId="Piedepgina">
    <w:name w:val="footer"/>
    <w:basedOn w:val="Normal"/>
    <w:link w:val="PiedepginaCar"/>
    <w:uiPriority w:val="99"/>
    <w:unhideWhenUsed/>
    <w:rsid w:val="003E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3F172-96A8-46D1-9C03-1D024880A9E5}"/>
</file>

<file path=customXml/itemProps2.xml><?xml version="1.0" encoding="utf-8"?>
<ds:datastoreItem xmlns:ds="http://schemas.openxmlformats.org/officeDocument/2006/customXml" ds:itemID="{9D7484F7-212C-471A-8659-D25DB682BF71}"/>
</file>

<file path=customXml/itemProps3.xml><?xml version="1.0" encoding="utf-8"?>
<ds:datastoreItem xmlns:ds="http://schemas.openxmlformats.org/officeDocument/2006/customXml" ds:itemID="{7FE81467-4151-4C09-A8F5-8809B892B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GCT-F-34  Análisis de Riesgos Prestación Ser Prof - Oficina 1.0</vt:lpstr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Giovany 2</dc:creator>
  <cp:keywords/>
  <dc:description/>
  <cp:lastModifiedBy>Amelia Carolina Navarro Onate</cp:lastModifiedBy>
  <cp:revision>6</cp:revision>
  <cp:lastPrinted>2019-08-14T18:31:00Z</cp:lastPrinted>
  <dcterms:created xsi:type="dcterms:W3CDTF">2019-08-06T20:03:00Z</dcterms:created>
  <dcterms:modified xsi:type="dcterms:W3CDTF">2019-09-06T16:27:00Z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1427800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